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95" w:rsidRPr="002A2B81" w:rsidRDefault="00042F95" w:rsidP="00042F95">
      <w:pPr>
        <w:pStyle w:val="2"/>
        <w:numPr>
          <w:ilvl w:val="0"/>
          <w:numId w:val="1"/>
        </w:numPr>
        <w:spacing w:before="120"/>
        <w:ind w:left="714" w:hanging="357"/>
        <w:jc w:val="center"/>
        <w:rPr>
          <w:rFonts w:ascii="Times New Roman" w:hAnsi="Times New Roman" w:cs="Times New Roman"/>
          <w:b/>
          <w:color w:val="auto"/>
        </w:rPr>
      </w:pPr>
      <w:bookmarkStart w:id="0" w:name="_Toc84423963"/>
      <w:r w:rsidRPr="002A2B81">
        <w:rPr>
          <w:rFonts w:ascii="Times New Roman" w:hAnsi="Times New Roman" w:cs="Times New Roman"/>
          <w:b/>
          <w:color w:val="auto"/>
        </w:rPr>
        <w:t>ТЕРМИНЫ И ОПРЕДЕЛЕНИЯ.</w:t>
      </w:r>
      <w:bookmarkEnd w:id="0"/>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color w:val="000000"/>
        </w:rPr>
      </w:pPr>
      <w:r w:rsidRPr="002A2B81">
        <w:rPr>
          <w:rFonts w:ascii="Times New Roman" w:hAnsi="Times New Roman" w:cs="Times New Roman"/>
          <w:b/>
          <w:bCs/>
          <w:color w:val="000000"/>
        </w:rPr>
        <w:t>CRS – Common Reporting Standard (Единый стандарт отчетности)</w:t>
      </w:r>
      <w:r w:rsidRPr="002A2B81">
        <w:rPr>
          <w:rFonts w:ascii="Times New Roman" w:hAnsi="Times New Roman" w:cs="Times New Roman"/>
          <w:bCs/>
          <w:color w:val="000000"/>
        </w:rPr>
        <w:t xml:space="preserve"> – разработанный в рамках ОЭСР (Организации экономического сотрудничества и развития) модельный документ, который предусматривает сбор и ежегодный автоматический обмен финансовой информацией между государствами, которые присоединились к данному стандарту. В рамках настоящих Правил под CRS понимается вся совокупность законодательства, регламентирующего в Российской Федерации реализацию международного автоматического обмена финансовой информацией с компетентными органами иностранных государств.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color w:val="000000"/>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color w:val="000000"/>
        </w:rPr>
      </w:pPr>
      <w:r w:rsidRPr="002A2B81">
        <w:rPr>
          <w:rFonts w:ascii="Times New Roman" w:hAnsi="Times New Roman" w:cs="Times New Roman"/>
          <w:b/>
          <w:bCs/>
          <w:color w:val="000000"/>
        </w:rPr>
        <w:t>Финансовые активы</w:t>
      </w:r>
      <w:r w:rsidRPr="002A2B81">
        <w:rPr>
          <w:rFonts w:ascii="Times New Roman" w:hAnsi="Times New Roman" w:cs="Times New Roman"/>
          <w:bCs/>
          <w:color w:val="000000"/>
        </w:rPr>
        <w:t xml:space="preserve"> – денежные средства, а также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любой иной финансовый инструмент, связанный с указанными видами финансовых активов. Для целей настоящей главы недвижимое имущество, а также драгоценные металлы (кроме обезличенных металлических счетов) не признаются финансовыми активами.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bCs/>
          <w:color w:val="000000"/>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bCs/>
          <w:color w:val="000000"/>
        </w:rPr>
      </w:pPr>
      <w:r w:rsidRPr="002A2B81">
        <w:rPr>
          <w:rFonts w:ascii="Times New Roman" w:hAnsi="Times New Roman" w:cs="Times New Roman"/>
          <w:b/>
          <w:bCs/>
          <w:color w:val="000000"/>
        </w:rPr>
        <w:t>Финансовые услуги –</w:t>
      </w:r>
      <w:r w:rsidRPr="002A2B81">
        <w:rPr>
          <w:rFonts w:ascii="Times New Roman" w:hAnsi="Times New Roman" w:cs="Times New Roman"/>
          <w:bCs/>
          <w:color w:val="000000"/>
        </w:rPr>
        <w:t xml:space="preserve"> услуги, связанные с привлечением от Клиентов и размещением Банком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t>Договор, предусматривающий оказание финансовой услуги</w:t>
      </w:r>
      <w:r w:rsidRPr="002A2B81">
        <w:rPr>
          <w:rFonts w:ascii="Times New Roman" w:hAnsi="Times New Roman" w:cs="Times New Roman"/>
        </w:rPr>
        <w:t xml:space="preserve"> (далее – Договор) – договор банковского счета (вклада), или иной договор, в рамках которого Банк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rPr>
      </w:pPr>
      <w:r w:rsidRPr="002A2B81">
        <w:rPr>
          <w:rFonts w:ascii="Times New Roman" w:hAnsi="Times New Roman" w:cs="Times New Roman"/>
          <w:b/>
        </w:rPr>
        <w:t xml:space="preserve">Клиент – </w:t>
      </w:r>
      <w:r w:rsidRPr="002A2B81">
        <w:rPr>
          <w:rFonts w:ascii="Times New Roman" w:hAnsi="Times New Roman" w:cs="Times New Roman"/>
          <w:bCs/>
        </w:rPr>
        <w:t>лицо (физическое лицо, индивидуальный</w:t>
      </w:r>
      <w:bookmarkStart w:id="1" w:name="_GoBack"/>
      <w:bookmarkEnd w:id="1"/>
      <w:r w:rsidRPr="002A2B81">
        <w:rPr>
          <w:rFonts w:ascii="Times New Roman" w:hAnsi="Times New Roman" w:cs="Times New Roman"/>
          <w:bCs/>
        </w:rPr>
        <w:t xml:space="preserve"> предприниматель, физическое лицо, занимающееся в установленном законодательством Российской Федерации порядке частной практикой, юридическое лицо, структура без образования юридического лица), заключающее (заключившее) с Банком Договор, предусматривающий оказание финансовых услуг.</w:t>
      </w: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t xml:space="preserve">Выгодоприобретатель – </w:t>
      </w:r>
      <w:r w:rsidRPr="002A2B81">
        <w:rPr>
          <w:rFonts w:ascii="Times New Roman" w:hAnsi="Times New Roman" w:cs="Times New Roman"/>
        </w:rPr>
        <w:t>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 При этом Выгодоприобретатель определяется в целом по договору, предусматривающему оказание финансовой услуги, а не по каждой операции с денежными средствами и иным имуществом.</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rPr>
        <w:t>По договорам, в рамках реализации которых предполагается осуществление Банком аннуитетных платежей, Банк в качестве Выгодоприобретателя рассматривает:</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до наступления периода выплат - лицо, которое имеет право распоряжаться суммой обязательств Банка по соответствующему договору об оказании финансовых услуг или назначать лиц, имеющих право на получение выплат по такому договору;</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 xml:space="preserve">после наступления периода выплат - лицо, которое фактически получает выплаты по соответствующему договору, предусматривающему оказание финансовой услуги.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t xml:space="preserve">Доходы от пассивной деятельности </w:t>
      </w:r>
      <w:r w:rsidRPr="002A2B81">
        <w:rPr>
          <w:rFonts w:ascii="Times New Roman" w:hAnsi="Times New Roman" w:cs="Times New Roman"/>
        </w:rPr>
        <w:t>– следующие виды доходов:</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дивиденды;</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процентный доход (или иной аналогичный доход);</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доходы от сдачи в аренду или субаренду имущества;</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доходы от использования прав на объекты интеллектуальной собственности;</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периодические страховые выплаты (аннуитеты);</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доходы, полученные в рамках договора добровольного страхования жизни;</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lastRenderedPageBreak/>
        <w:t>иные доходы, аналогичные указанным доходам.</w:t>
      </w: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bCs/>
          <w:color w:val="000000"/>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bCs/>
          <w:color w:val="000000"/>
        </w:rPr>
      </w:pPr>
      <w:r w:rsidRPr="002A2B81">
        <w:rPr>
          <w:rFonts w:ascii="Times New Roman" w:hAnsi="Times New Roman" w:cs="Times New Roman"/>
          <w:b/>
          <w:bCs/>
          <w:color w:val="000000"/>
        </w:rPr>
        <w:t xml:space="preserve">Пассивная нефинансовая организация: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bCs/>
          <w:color w:val="000000"/>
        </w:rPr>
      </w:pPr>
      <w:r w:rsidRPr="002A2B81">
        <w:rPr>
          <w:rFonts w:ascii="Times New Roman" w:hAnsi="Times New Roman" w:cs="Times New Roman"/>
          <w:bCs/>
          <w:color w:val="000000"/>
        </w:rPr>
        <w:t>1)</w:t>
      </w:r>
      <w:r w:rsidRPr="002A2B81">
        <w:rPr>
          <w:rFonts w:ascii="Times New Roman" w:hAnsi="Times New Roman" w:cs="Times New Roman"/>
          <w:b/>
          <w:bCs/>
          <w:color w:val="000000"/>
        </w:rPr>
        <w:t xml:space="preserve"> </w:t>
      </w:r>
      <w:r w:rsidRPr="002A2B81">
        <w:rPr>
          <w:rFonts w:ascii="Times New Roman" w:hAnsi="Times New Roman" w:cs="Times New Roman"/>
          <w:bCs/>
          <w:color w:val="000000"/>
        </w:rPr>
        <w:t>Организация или структура без образования юридического лица, не являющаяся организацией финансового рынка и не соответствующая признакам клиентов, осуществляющих активную деятельность:</w:t>
      </w:r>
      <w:r w:rsidRPr="002A2B81">
        <w:rPr>
          <w:rFonts w:ascii="Times New Roman" w:hAnsi="Times New Roman" w:cs="Times New Roman"/>
          <w:b/>
          <w:bCs/>
          <w:color w:val="000000"/>
        </w:rPr>
        <w:t xml:space="preserve"> </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за календарный год, предшествующий отчетному периоду, менее 50% доходов Клиента составляют доходы от пассивной деятельности и менее 50% активов Клиента (оцениваемых по рыночной или балансовой стоимости) относятся к активам, используемым для извлечения доходов от пассивной деятельности;</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акции (доли) Клиента обращаются на организованных торгах в Российской Федерации или на иностранной бирже;</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акции (доли) организации (или структуры без образования юридического лица), которая прямо или косвенно контролируется Клиентом либо прямо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акций (долей) в уставном (складочном) капитале);</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акций (долей) в уставном (складочном) капитале);</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Клиент исполняет функции центрального банка, является государственным учреждением, международной организацией или 100% долей (акций) участия в уставном (складочном) капитале Клиента принадлежит одному или нескольким из перечисленных организаций;</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Клиент является вновь созданным лицом (Клиент еще не осуществляет деловую активность, не имеет истории операций, но при этом осуществляет инвестирование капитала в активы с намерением осуществлять предпринимательскую деятельность, не связанную с деятельностью ОФР, при условии, что с момента первоначальной регистрации такого Клиента в качестве хозяйствующего субъекта прошло не более 24 месяцев);</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Клиент является некоммерческой организацией, доходы которой не являются объектом налогообложения или освобождаются от налогов</w:t>
      </w:r>
      <w:r w:rsidRPr="002A2B81">
        <w:rPr>
          <w:rStyle w:val="a8"/>
          <w:rFonts w:ascii="Times New Roman" w:hAnsi="Times New Roman" w:cs="Times New Roman"/>
        </w:rPr>
        <w:footnoteReference w:id="1"/>
      </w:r>
      <w:r w:rsidRPr="002A2B81">
        <w:rPr>
          <w:rFonts w:ascii="Times New Roman" w:hAnsi="Times New Roman" w:cs="Times New Roman"/>
        </w:rPr>
        <w:t>;</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color w:val="000000"/>
        </w:rPr>
      </w:pPr>
      <w:r w:rsidRPr="002A2B81">
        <w:rPr>
          <w:rFonts w:ascii="Times New Roman" w:hAnsi="Times New Roman" w:cs="Times New Roman"/>
          <w:bCs/>
          <w:color w:val="000000"/>
        </w:rPr>
        <w:t>2) Организация финансового рынка и (или) финансовое учреждение, зарегистрированные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w:t>
      </w:r>
      <w:hyperlink r:id="rId7" w:anchor="startbody" w:history="1">
        <w:r w:rsidRPr="002A2B81">
          <w:rPr>
            <w:rStyle w:val="a5"/>
            <w:rFonts w:ascii="Times New Roman" w:hAnsi="Times New Roman" w:cs="Times New Roman"/>
            <w:bCs/>
          </w:rPr>
          <w:t>https://340fzreport.nalog.ru/info/#startbody</w:t>
        </w:r>
      </w:hyperlink>
      <w:r w:rsidRPr="002A2B81">
        <w:rPr>
          <w:rFonts w:ascii="Times New Roman" w:hAnsi="Times New Roman" w:cs="Times New Roman"/>
          <w:bCs/>
          <w:color w:val="000000"/>
        </w:rPr>
        <w:t xml:space="preserve">), в том числе организация финансового рынка 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которых происходит от инвестиций или торговли финансовыми активами и которые управляются иной организацией финансового рынка или финансовым учреждением.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color w:val="000000"/>
        </w:rPr>
      </w:pPr>
      <w:r w:rsidRPr="002A2B81">
        <w:rPr>
          <w:rFonts w:ascii="Times New Roman" w:hAnsi="Times New Roman" w:cs="Times New Roman"/>
          <w:bCs/>
          <w:color w:val="000000"/>
        </w:rPr>
        <w:t xml:space="preserve">Организация финансового рынка и (или) финансовое учреждение управляется иной организацией финансового рынка или финансовым учреждением, если одна или несколько организаций финансового </w:t>
      </w:r>
      <w:r w:rsidRPr="002A2B81">
        <w:rPr>
          <w:rFonts w:ascii="Times New Roman" w:hAnsi="Times New Roman" w:cs="Times New Roman"/>
          <w:bCs/>
          <w:color w:val="000000"/>
        </w:rPr>
        <w:lastRenderedPageBreak/>
        <w:t>рынка или финансовых учреждений в ходе своей деятельности осуществляют прямо или косвенно от лица управляемой организации финансового рынка и (или) финансового учреждения:</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операции, связанные одновременно или по отдельности с:</w:t>
      </w:r>
    </w:p>
    <w:p w:rsidR="00042F95" w:rsidRPr="002A2B81" w:rsidRDefault="00042F95" w:rsidP="00042F95">
      <w:pPr>
        <w:pStyle w:val="a3"/>
        <w:numPr>
          <w:ilvl w:val="3"/>
          <w:numId w:val="3"/>
        </w:numPr>
        <w:tabs>
          <w:tab w:val="left" w:pos="993"/>
        </w:tabs>
        <w:autoSpaceDE w:val="0"/>
        <w:autoSpaceDN w:val="0"/>
        <w:adjustRightInd w:val="0"/>
        <w:spacing w:after="0" w:line="240" w:lineRule="auto"/>
        <w:ind w:left="709"/>
        <w:jc w:val="both"/>
        <w:rPr>
          <w:rFonts w:ascii="Times New Roman" w:hAnsi="Times New Roman" w:cs="Times New Roman"/>
        </w:rPr>
      </w:pPr>
      <w:r w:rsidRPr="002A2B81">
        <w:rPr>
          <w:rFonts w:ascii="Times New Roman" w:hAnsi="Times New Roman" w:cs="Times New Roman"/>
        </w:rPr>
        <w:t>торговлей высоколиквидными финансовыми инструментами (в том числе чеками, векселями, депозитными сертификатами, производными финансовыми инструментами), осуществлением операций на валютном рынке (рынке форекс),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w:t>
      </w:r>
    </w:p>
    <w:p w:rsidR="00042F95" w:rsidRPr="002A2B81" w:rsidRDefault="00042F95" w:rsidP="00042F95">
      <w:pPr>
        <w:pStyle w:val="a3"/>
        <w:numPr>
          <w:ilvl w:val="3"/>
          <w:numId w:val="3"/>
        </w:numPr>
        <w:tabs>
          <w:tab w:val="left" w:pos="993"/>
        </w:tabs>
        <w:autoSpaceDE w:val="0"/>
        <w:autoSpaceDN w:val="0"/>
        <w:adjustRightInd w:val="0"/>
        <w:spacing w:after="0" w:line="240" w:lineRule="auto"/>
        <w:ind w:left="709"/>
        <w:jc w:val="both"/>
        <w:rPr>
          <w:rFonts w:ascii="Times New Roman" w:hAnsi="Times New Roman" w:cs="Times New Roman"/>
        </w:rPr>
      </w:pPr>
      <w:r w:rsidRPr="002A2B81">
        <w:rPr>
          <w:rFonts w:ascii="Times New Roman" w:hAnsi="Times New Roman" w:cs="Times New Roman"/>
        </w:rPr>
        <w:t>управлением индивидуальными и коллективными инвестиционными портфелями;</w:t>
      </w:r>
    </w:p>
    <w:p w:rsidR="00042F95" w:rsidRPr="002A2B81" w:rsidRDefault="00042F95" w:rsidP="00042F95">
      <w:pPr>
        <w:pStyle w:val="a3"/>
        <w:numPr>
          <w:ilvl w:val="3"/>
          <w:numId w:val="3"/>
        </w:numPr>
        <w:tabs>
          <w:tab w:val="left" w:pos="993"/>
        </w:tabs>
        <w:autoSpaceDE w:val="0"/>
        <w:autoSpaceDN w:val="0"/>
        <w:adjustRightInd w:val="0"/>
        <w:spacing w:after="0" w:line="240" w:lineRule="auto"/>
        <w:ind w:left="709"/>
        <w:jc w:val="both"/>
        <w:rPr>
          <w:rFonts w:ascii="Times New Roman" w:hAnsi="Times New Roman" w:cs="Times New Roman"/>
        </w:rPr>
      </w:pPr>
      <w:r w:rsidRPr="002A2B81">
        <w:rPr>
          <w:rFonts w:ascii="Times New Roman" w:hAnsi="Times New Roman" w:cs="Times New Roman"/>
        </w:rPr>
        <w:t>иным инвестированием, администрированием или управлением финансовыми активами или денежными средствами от лица иной организации финансового рынка и (или) финансового учреждения;</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инвестирование или торговлю финансовыми активами (самостоятельно или через посредников) от имени управляемой организации финансового рынка и (или) финансового учреждения, а также вправе полностью или частично распоряжаться активами такой организации финансового рынка и (или) финансового учреждения.</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Cs/>
        </w:rPr>
      </w:pPr>
      <w:r w:rsidRPr="002A2B81">
        <w:rPr>
          <w:rFonts w:ascii="Times New Roman" w:hAnsi="Times New Roman" w:cs="Times New Roman"/>
          <w:b/>
        </w:rPr>
        <w:t xml:space="preserve">Контролирующее лицо – </w:t>
      </w:r>
      <w:r w:rsidRPr="002A2B81">
        <w:rPr>
          <w:rFonts w:ascii="Times New Roman" w:hAnsi="Times New Roman" w:cs="Times New Roman"/>
        </w:rPr>
        <w:t>лицо, прямо или косвенно контролирующее Клиента / Выгодоприобретателя, являющееся физическим лицом</w:t>
      </w:r>
      <w:r w:rsidRPr="002A2B81">
        <w:rPr>
          <w:rFonts w:ascii="Times New Roman" w:hAnsi="Times New Roman" w:cs="Times New Roman"/>
          <w:bCs/>
        </w:rPr>
        <w:t xml:space="preserve">, которое в конечном счете прямо или косвенно (через третьих лиц) владеет (имеет преобладающее участие более 25 процентов в капитале) Клиентом / Выгодоприобретателем либо имеет возможность контролировать действия Клиента / Выгодоприобретателя. Лицом, прямо или косвенно контролирующим Клиента - физическое лицо, считается само это лицо, за исключением тех случаев, когда имеются основания полагать, что существуют иные физические лица, прямо или косвенно контролирующие Клиента - физическое лицо.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rPr>
        <w:t>При отсутствии физического лица, осуществляющего управление посредством доли участия в капитале, Контролирующим лицом признается физическое лицо (лица), осуществляющее управление юридическим лицом каким-либо иным образом, а именно:</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284"/>
        <w:jc w:val="both"/>
        <w:rPr>
          <w:rFonts w:ascii="Times New Roman" w:hAnsi="Times New Roman" w:cs="Times New Roman"/>
        </w:rPr>
      </w:pPr>
      <w:r w:rsidRPr="002A2B81">
        <w:rPr>
          <w:rFonts w:ascii="Times New Roman" w:hAnsi="Times New Roman" w:cs="Times New Roman"/>
        </w:rPr>
        <w:t>Физическое лицо (лица), осуществляющее управление юридическим лицом иными способами, например, посредством личных контактов с лицами, осуществляющими управление юридическим лицом в силу занимаемой должности, либо с лицами, участвующими в капитале.</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284"/>
        <w:jc w:val="both"/>
        <w:rPr>
          <w:rFonts w:ascii="Times New Roman" w:hAnsi="Times New Roman" w:cs="Times New Roman"/>
        </w:rPr>
      </w:pPr>
      <w:r w:rsidRPr="002A2B81">
        <w:rPr>
          <w:rFonts w:ascii="Times New Roman" w:hAnsi="Times New Roman" w:cs="Times New Roman"/>
        </w:rPr>
        <w:t>Физическое лицо (лица), осуществляющее управление не вследствие владения долями участия в капитале, а за счет участия в финансировании предприятия; либо по причине наличия тесных семейных отношений; исторически сложившихся или сформировавшихся в результате сотрудничества связей; либо в случае, если компания объявила дефолт по определенным долгам (допустила неисполнение по определенным платежам). Кроме того, факт управления можно предположить даже в тех случаях, когда фактически оно никогда не осуществлялось, а именно в случае использования, получения выгоды или прибыли от активов, которые находятся во владении юридического лица.</w:t>
      </w:r>
    </w:p>
    <w:p w:rsidR="00042F95" w:rsidRPr="002A2B81" w:rsidRDefault="00042F95" w:rsidP="00042F95">
      <w:pPr>
        <w:tabs>
          <w:tab w:val="left" w:pos="993"/>
        </w:tabs>
        <w:autoSpaceDE w:val="0"/>
        <w:autoSpaceDN w:val="0"/>
        <w:adjustRightInd w:val="0"/>
        <w:spacing w:after="0" w:line="240" w:lineRule="auto"/>
        <w:ind w:left="-76"/>
        <w:jc w:val="both"/>
        <w:rPr>
          <w:rFonts w:ascii="Times New Roman" w:hAnsi="Times New Roman" w:cs="Times New Roman"/>
        </w:rPr>
      </w:pPr>
      <w:r w:rsidRPr="002A2B81">
        <w:rPr>
          <w:rFonts w:ascii="Times New Roman" w:hAnsi="Times New Roman" w:cs="Times New Roman"/>
        </w:rPr>
        <w:t>Если ни на одном из предыдущих этапов не удалось установить Лиц, прямо или косвенно контролирующих Клиента, к таким лицам следует отнести физических лиц, которые могут осуществлять управление в силу должностных позиций, занимаемых в структуре юридического лица, а именно:</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284"/>
        <w:jc w:val="both"/>
        <w:rPr>
          <w:rFonts w:ascii="Times New Roman" w:hAnsi="Times New Roman" w:cs="Times New Roman"/>
        </w:rPr>
      </w:pPr>
      <w:r w:rsidRPr="002A2B81">
        <w:rPr>
          <w:rFonts w:ascii="Times New Roman" w:hAnsi="Times New Roman" w:cs="Times New Roman"/>
        </w:rPr>
        <w:t>Физическое лицо (лица), которые могут осуществлять управление в силу положения, занимаемого в структуре юридического лица:</w:t>
      </w:r>
    </w:p>
    <w:p w:rsidR="00042F95" w:rsidRPr="002A2B81" w:rsidRDefault="00042F95" w:rsidP="00042F95">
      <w:pPr>
        <w:pStyle w:val="a3"/>
        <w:numPr>
          <w:ilvl w:val="3"/>
          <w:numId w:val="3"/>
        </w:numPr>
        <w:tabs>
          <w:tab w:val="left" w:pos="993"/>
        </w:tabs>
        <w:autoSpaceDE w:val="0"/>
        <w:autoSpaceDN w:val="0"/>
        <w:adjustRightInd w:val="0"/>
        <w:spacing w:after="0" w:line="240" w:lineRule="auto"/>
        <w:ind w:left="709"/>
        <w:jc w:val="both"/>
        <w:rPr>
          <w:rFonts w:ascii="Times New Roman" w:hAnsi="Times New Roman" w:cs="Times New Roman"/>
        </w:rPr>
      </w:pPr>
      <w:r w:rsidRPr="002A2B81">
        <w:rPr>
          <w:rFonts w:ascii="Times New Roman" w:hAnsi="Times New Roman" w:cs="Times New Roman"/>
        </w:rPr>
        <w:t>Физическое лицо (лица), ответственное за принятие стратегических решений, которые оказывают решающее влияние на развитие бизнеса или на общее направление развития предприятия.</w:t>
      </w:r>
    </w:p>
    <w:p w:rsidR="00042F95" w:rsidRPr="002A2B81" w:rsidRDefault="00042F95" w:rsidP="00042F95">
      <w:pPr>
        <w:pStyle w:val="a3"/>
        <w:numPr>
          <w:ilvl w:val="3"/>
          <w:numId w:val="3"/>
        </w:numPr>
        <w:tabs>
          <w:tab w:val="left" w:pos="993"/>
        </w:tabs>
        <w:autoSpaceDE w:val="0"/>
        <w:autoSpaceDN w:val="0"/>
        <w:adjustRightInd w:val="0"/>
        <w:spacing w:after="0" w:line="240" w:lineRule="auto"/>
        <w:ind w:left="709"/>
        <w:jc w:val="both"/>
        <w:rPr>
          <w:rFonts w:ascii="Times New Roman" w:hAnsi="Times New Roman" w:cs="Times New Roman"/>
        </w:rPr>
      </w:pPr>
      <w:r w:rsidRPr="002A2B81">
        <w:rPr>
          <w:rFonts w:ascii="Times New Roman" w:hAnsi="Times New Roman" w:cs="Times New Roman"/>
        </w:rPr>
        <w:t>Физическое лицо (лица), осуществляющее исполнительный контроль за ежедневной или регулярной деятельностью юридического лица в силу занимаемой должностной позиции руководителя высшего звена: руководителя предприятия, финансового директора, управляющего или исполнительного директора, президента.</w:t>
      </w:r>
    </w:p>
    <w:p w:rsidR="00042F95" w:rsidRPr="002A2B81" w:rsidRDefault="00042F95" w:rsidP="00042F95">
      <w:pPr>
        <w:pStyle w:val="a3"/>
        <w:numPr>
          <w:ilvl w:val="3"/>
          <w:numId w:val="3"/>
        </w:numPr>
        <w:tabs>
          <w:tab w:val="left" w:pos="993"/>
        </w:tabs>
        <w:autoSpaceDE w:val="0"/>
        <w:autoSpaceDN w:val="0"/>
        <w:adjustRightInd w:val="0"/>
        <w:spacing w:after="0" w:line="240" w:lineRule="auto"/>
        <w:ind w:left="709"/>
        <w:jc w:val="both"/>
        <w:rPr>
          <w:rFonts w:ascii="Times New Roman" w:hAnsi="Times New Roman" w:cs="Times New Roman"/>
        </w:rPr>
      </w:pPr>
      <w:r w:rsidRPr="002A2B81">
        <w:rPr>
          <w:rFonts w:ascii="Times New Roman" w:hAnsi="Times New Roman" w:cs="Times New Roman"/>
        </w:rPr>
        <w:t>Физическое лицо (лица), имеющее существенные полномочия при решении финансовых вопросов, связанных с работой юридического лица (включая вопросы, связанные с отношениями с финансовыми организациями, открывшими счета от имени и по поручению юридического лица), а также при решении текущих финансовых вопросов юридического лица.</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rPr>
        <w:t>В случае Клиентов / Выгодоприобретателей - структур без образования юридического лица, которые являются трастами, под Лицами, прямо или косвенно контролирующими такие структуры, следует понимать: учредителей (</w:t>
      </w:r>
      <w:proofErr w:type="spellStart"/>
      <w:r w:rsidRPr="002A2B81">
        <w:rPr>
          <w:rFonts w:ascii="Times New Roman" w:hAnsi="Times New Roman" w:cs="Times New Roman"/>
        </w:rPr>
        <w:t>settlors</w:t>
      </w:r>
      <w:proofErr w:type="spellEnd"/>
      <w:r w:rsidRPr="002A2B81">
        <w:rPr>
          <w:rFonts w:ascii="Times New Roman" w:hAnsi="Times New Roman" w:cs="Times New Roman"/>
        </w:rPr>
        <w:t>), попечителей (</w:t>
      </w:r>
      <w:proofErr w:type="spellStart"/>
      <w:r w:rsidRPr="002A2B81">
        <w:rPr>
          <w:rFonts w:ascii="Times New Roman" w:hAnsi="Times New Roman" w:cs="Times New Roman"/>
        </w:rPr>
        <w:t>protectors</w:t>
      </w:r>
      <w:proofErr w:type="spellEnd"/>
      <w:r w:rsidRPr="002A2B81">
        <w:rPr>
          <w:rFonts w:ascii="Times New Roman" w:hAnsi="Times New Roman" w:cs="Times New Roman"/>
        </w:rPr>
        <w:t>), доверительных собственников и управляющих, Выгодоприобретателей (</w:t>
      </w:r>
      <w:proofErr w:type="spellStart"/>
      <w:r w:rsidRPr="002A2B81">
        <w:rPr>
          <w:rFonts w:ascii="Times New Roman" w:hAnsi="Times New Roman" w:cs="Times New Roman"/>
        </w:rPr>
        <w:t>beneficiaries</w:t>
      </w:r>
      <w:proofErr w:type="spellEnd"/>
      <w:r w:rsidRPr="002A2B81">
        <w:rPr>
          <w:rFonts w:ascii="Times New Roman" w:hAnsi="Times New Roman" w:cs="Times New Roman"/>
        </w:rPr>
        <w:t>) или классы Выгодоприобретателей и любые другие физические лица, имеющие действительный контроль над трастом. В случае если учредителем (</w:t>
      </w:r>
      <w:proofErr w:type="spellStart"/>
      <w:r w:rsidRPr="002A2B81">
        <w:rPr>
          <w:rFonts w:ascii="Times New Roman" w:hAnsi="Times New Roman" w:cs="Times New Roman"/>
        </w:rPr>
        <w:t>settlor</w:t>
      </w:r>
      <w:proofErr w:type="spellEnd"/>
      <w:r w:rsidRPr="002A2B81">
        <w:rPr>
          <w:rFonts w:ascii="Times New Roman" w:hAnsi="Times New Roman" w:cs="Times New Roman"/>
        </w:rPr>
        <w:t xml:space="preserve">) траста является </w:t>
      </w:r>
      <w:r w:rsidRPr="002A2B81">
        <w:rPr>
          <w:rFonts w:ascii="Times New Roman" w:hAnsi="Times New Roman" w:cs="Times New Roman"/>
        </w:rPr>
        <w:lastRenderedPageBreak/>
        <w:t>юридическое лицо, то Банк должен также выявить Лиц, прямо или косвенно контролирующих такого учредителя траста, и включить о них сведения в отчетность как о Лицах, прямо или косвенно контролирующих Клиента - траст. В случае с Выгодоприобретателями (</w:t>
      </w:r>
      <w:proofErr w:type="spellStart"/>
      <w:r w:rsidRPr="002A2B81">
        <w:rPr>
          <w:rFonts w:ascii="Times New Roman" w:hAnsi="Times New Roman" w:cs="Times New Roman"/>
        </w:rPr>
        <w:t>beneficiaries</w:t>
      </w:r>
      <w:proofErr w:type="spellEnd"/>
      <w:r w:rsidRPr="002A2B81">
        <w:rPr>
          <w:rFonts w:ascii="Times New Roman" w:hAnsi="Times New Roman" w:cs="Times New Roman"/>
        </w:rPr>
        <w:t xml:space="preserve">) трастов, которые указаны по характеристикам или классам, Банку необходимо получить достаточную информацию для того, чтобы в случае осуществления соответствующей выплаты или при намерении использовать данными лицами закрепленных за ними прав установить их личность. </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rPr>
        <w:t>В случае со структурами без образования юридического лица, которые не являются трастами, под Лицами, прямо или косвенно контролирующими такие структуры, следует понимать соответствующих лиц, которые исполняют такие же или аналогичные функции, как и в случае с трастами. С учетом разнообразия таких структур в отчетность в качестве Лиц, прямо или косвенно их контролирующих, необходимо включать сведения о соответствующих лицах, которые исполняют такие же или аналогичные функции, как и в случае с трастами.</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t xml:space="preserve">Идентификация Клиента по </w:t>
      </w:r>
      <w:r w:rsidRPr="002A2B81">
        <w:rPr>
          <w:rFonts w:ascii="Times New Roman" w:hAnsi="Times New Roman" w:cs="Times New Roman"/>
          <w:b/>
          <w:lang w:val="en-US"/>
        </w:rPr>
        <w:t>CRS</w:t>
      </w:r>
      <w:r w:rsidRPr="002A2B81">
        <w:rPr>
          <w:rFonts w:ascii="Times New Roman" w:hAnsi="Times New Roman" w:cs="Times New Roman"/>
          <w:b/>
        </w:rPr>
        <w:t xml:space="preserve"> –</w:t>
      </w:r>
      <w:r w:rsidRPr="002A2B81">
        <w:rPr>
          <w:rFonts w:ascii="Times New Roman" w:hAnsi="Times New Roman" w:cs="Times New Roman"/>
        </w:rPr>
        <w:t xml:space="preserve"> совокупность мероприятий в отношении Клиентов, Выгодоприобретателей и (или) Лиц, прямо или косвенно их контролирующих, по установлению налогового резидентства иностранного государства (территории).</w:t>
      </w: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t>Налоговый резидент иностранного государства</w:t>
      </w:r>
      <w:r w:rsidRPr="002A2B81">
        <w:rPr>
          <w:rFonts w:ascii="Times New Roman" w:hAnsi="Times New Roman" w:cs="Times New Roman"/>
        </w:rPr>
        <w:t xml:space="preserve"> </w:t>
      </w:r>
      <w:r w:rsidRPr="002A2B81">
        <w:rPr>
          <w:rFonts w:ascii="Times New Roman" w:hAnsi="Times New Roman" w:cs="Times New Roman"/>
          <w:b/>
        </w:rPr>
        <w:t>–</w:t>
      </w:r>
      <w:r w:rsidRPr="002A2B81">
        <w:rPr>
          <w:rFonts w:ascii="Times New Roman" w:hAnsi="Times New Roman" w:cs="Times New Roman"/>
        </w:rPr>
        <w:t xml:space="preserve">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Статус налогового резидента иностранного государства определяется Банком в отношении Клиента, Выгодоприобретателя и (или) Лиц, прямо или косвенно контролирующих Клиента / Выгодоприобретателя, по результатам проведения соответствующих мер в соответствии с настоящими Правилами. В случае если юридическое лицо (структура без образования юридического лица) не является налоговым резидентом ни одного иностранного государства (территории), такое лицо считается налоговым резидентом иностранного государства (территории), в котором расположены его органы или структуры управления. К налоговым резидентам иностранного государства также относятся налоговые резиденты Российской Федерации, если они одновременно являются и налоговыми резидентами иностранного государства (территории).</w:t>
      </w: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r w:rsidRPr="002A2B81">
        <w:rPr>
          <w:rFonts w:ascii="Times New Roman" w:hAnsi="Times New Roman" w:cs="Times New Roman"/>
          <w:b/>
        </w:rPr>
        <w:t xml:space="preserve">Лицо, не являющееся налоговым резидентом ни в одном государстве – </w:t>
      </w:r>
      <w:r w:rsidRPr="002A2B81">
        <w:rPr>
          <w:rFonts w:ascii="Times New Roman" w:hAnsi="Times New Roman" w:cs="Times New Roman"/>
        </w:rPr>
        <w:t>лицо, не являющееся налоговым резидентом какого-либо иностранного государства, а также не являющееся налоговым резидентом РФ.</w:t>
      </w:r>
    </w:p>
    <w:p w:rsidR="00042F95"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r w:rsidRPr="002A2B81">
        <w:rPr>
          <w:rFonts w:ascii="Times New Roman" w:hAnsi="Times New Roman" w:cs="Times New Roman"/>
          <w:b/>
        </w:rPr>
        <w:t xml:space="preserve">Идентификатор налогоплательщика (далее - TIN) - </w:t>
      </w:r>
      <w:r w:rsidRPr="002A2B81">
        <w:rPr>
          <w:rFonts w:ascii="Times New Roman" w:hAnsi="Times New Roman" w:cs="Times New Roman"/>
        </w:rPr>
        <w:t>иностранный идентификационный номер налогоплательщика (TIN, ИНН и пр.), присвоенный иностранным государством (территорией), налоговым резидентом которого является Клиент / Выгодоприобретатель / Лицо, прямо или косвенно контролирующее Клиента / Выгодоприобретателя</w:t>
      </w:r>
      <w:r w:rsidRPr="002A2B81">
        <w:rPr>
          <w:rFonts w:ascii="Times New Roman" w:hAnsi="Times New Roman" w:cs="Times New Roman"/>
          <w:b/>
        </w:rPr>
        <w:t xml:space="preserve">. </w:t>
      </w:r>
      <w:r w:rsidRPr="002A2B81">
        <w:rPr>
          <w:rFonts w:ascii="Times New Roman" w:hAnsi="Times New Roman" w:cs="Times New Roman"/>
        </w:rPr>
        <w:t>Идентификатор налогоплательщика включает в себя также код Клиента, Выгодоприобретателя и (или) Лиц, прямо или косвенно их контролирующих, в иностранном государстве (на территории) его регистрации (инкорпорации).</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t>Изменение обстоятельств</w:t>
      </w:r>
      <w:r w:rsidRPr="002A2B81">
        <w:rPr>
          <w:rFonts w:ascii="Times New Roman" w:hAnsi="Times New Roman" w:cs="Times New Roman"/>
        </w:rPr>
        <w:t xml:space="preserve"> – любые события, о которых узнал или должен был узнать Банк, которые в том числе приводят к изменению информации в отношении налогового резидентства Клиента (Выгодоприобретателя и (или) Лиц, прямо или косвенно их контролирующих) в связи с изменением текущих или появлением новых признаков принадлежности указанных лиц к иностранному государству. Под изменением обстоятельств также понимается изменение (дополнение) любой информации, о котором узнал или должен был узнать Банк (включая замену текущего или появление нового Клиента, Выгодоприобретателя и (или) Лиц, прямо или косвенно их контролирующих), в отношении договора, предусматривающего оказание финансовой услуги, а также любого иного договора, предусматривающего оказание финансовой услуги, который связан с Клиентом, Выгодоприобретателем и (или) Лицами, прямо или косвенно их контролирующими, если такое изменение (дополнение) может привести к изменению налогового резидентства указанных лиц (изменению текущих (появлению новых) признаков принадлежности их к иностранному государству). При этом смерть Клиента (Выгодоприобретателя и (или) Лиц, прямо или косвенно их контролирующих) сама по себе не рассматривается в качестве изменения обстоятельств.</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rPr>
      </w:pP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rPr>
      </w:pPr>
      <w:r w:rsidRPr="002A2B81">
        <w:rPr>
          <w:rFonts w:ascii="Times New Roman" w:hAnsi="Times New Roman" w:cs="Times New Roman"/>
          <w:b/>
        </w:rPr>
        <w:lastRenderedPageBreak/>
        <w:t>Организация финансового рынка</w:t>
      </w:r>
      <w:r w:rsidRPr="002A2B81">
        <w:rPr>
          <w:rFonts w:ascii="Times New Roman" w:hAnsi="Times New Roman" w:cs="Times New Roman"/>
        </w:rPr>
        <w:t xml:space="preserve"> (далее – ОФР)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 Федеральная налоговая служба регулярно уточняет «Перечень организаций, которые следует относить к организациям финансового рынка» путем размещения его на сайте ФНС (</w:t>
      </w:r>
      <w:hyperlink r:id="rId8" w:anchor="startbody" w:history="1">
        <w:r w:rsidRPr="002A2B81">
          <w:rPr>
            <w:rStyle w:val="a5"/>
            <w:rFonts w:ascii="Times New Roman" w:hAnsi="Times New Roman" w:cs="Times New Roman"/>
          </w:rPr>
          <w:t>https://340fzreport.nalog.ru/info/#startbody</w:t>
        </w:r>
      </w:hyperlink>
      <w:r w:rsidRPr="002A2B81">
        <w:rPr>
          <w:rFonts w:ascii="Times New Roman" w:hAnsi="Times New Roman" w:cs="Times New Roman"/>
        </w:rPr>
        <w:t>).</w:t>
      </w:r>
    </w:p>
    <w:p w:rsidR="00042F95" w:rsidRPr="002A2B81" w:rsidRDefault="00042F95" w:rsidP="00042F95">
      <w:pPr>
        <w:pStyle w:val="a3"/>
        <w:tabs>
          <w:tab w:val="left" w:pos="993"/>
        </w:tabs>
        <w:autoSpaceDE w:val="0"/>
        <w:autoSpaceDN w:val="0"/>
        <w:adjustRightInd w:val="0"/>
        <w:spacing w:after="0" w:line="240" w:lineRule="auto"/>
        <w:ind w:left="0"/>
        <w:jc w:val="both"/>
        <w:rPr>
          <w:rFonts w:ascii="Times New Roman" w:hAnsi="Times New Roman" w:cs="Times New Roman"/>
          <w:b/>
          <w:bCs/>
          <w:color w:val="000000"/>
        </w:rPr>
      </w:pPr>
    </w:p>
    <w:p w:rsidR="00042F95" w:rsidRPr="002A2B81" w:rsidRDefault="00042F95" w:rsidP="00042F95">
      <w:pPr>
        <w:autoSpaceDE w:val="0"/>
        <w:autoSpaceDN w:val="0"/>
        <w:adjustRightInd w:val="0"/>
        <w:spacing w:after="0" w:line="240" w:lineRule="auto"/>
        <w:jc w:val="center"/>
        <w:rPr>
          <w:rFonts w:ascii="Times New Roman" w:hAnsi="Times New Roman" w:cs="Times New Roman"/>
          <w:b/>
          <w:bCs/>
        </w:rPr>
      </w:pPr>
      <w:r w:rsidRPr="002A2B81">
        <w:rPr>
          <w:rFonts w:ascii="Times New Roman" w:hAnsi="Times New Roman" w:cs="Times New Roman"/>
          <w:b/>
          <w:bCs/>
        </w:rPr>
        <w:t>СПИСОК ЛИЦ, В ОТНОШЕНИИ КОТОРЫХ НЕ ТРЕБУЕТСЯ ПРЕДСТАВЛЕНИЕ ИНФОРМАЦИИ В РАМКАХ CRS</w:t>
      </w:r>
    </w:p>
    <w:p w:rsidR="00042F95" w:rsidRPr="002A2B81" w:rsidRDefault="00042F95" w:rsidP="00042F95">
      <w:pPr>
        <w:autoSpaceDE w:val="0"/>
        <w:autoSpaceDN w:val="0"/>
        <w:adjustRightInd w:val="0"/>
        <w:spacing w:after="0" w:line="240" w:lineRule="auto"/>
        <w:jc w:val="both"/>
        <w:rPr>
          <w:rFonts w:ascii="Times New Roman" w:hAnsi="Times New Roman" w:cs="Times New Roman"/>
          <w:color w:val="000000"/>
          <w:sz w:val="18"/>
          <w:szCs w:val="18"/>
        </w:rPr>
      </w:pPr>
    </w:p>
    <w:p w:rsidR="00042F95" w:rsidRPr="002A2B81" w:rsidRDefault="00042F95" w:rsidP="00042F95">
      <w:pPr>
        <w:pStyle w:val="ConsPlusNormal"/>
        <w:numPr>
          <w:ilvl w:val="3"/>
          <w:numId w:val="4"/>
        </w:numPr>
        <w:ind w:left="0" w:firstLine="0"/>
        <w:jc w:val="both"/>
        <w:rPr>
          <w:rFonts w:ascii="Times New Roman" w:hAnsi="Times New Roman" w:cs="Times New Roman"/>
          <w:szCs w:val="22"/>
        </w:rPr>
      </w:pPr>
      <w:r w:rsidRPr="002A2B81">
        <w:rPr>
          <w:rFonts w:ascii="Times New Roman" w:hAnsi="Times New Roman" w:cs="Times New Roman"/>
          <w:szCs w:val="22"/>
        </w:rPr>
        <w:t>Организация, акции которой обращаются на организованных торгах в Российской Федерации или на иностранной бирже.</w:t>
      </w:r>
    </w:p>
    <w:p w:rsidR="00042F95" w:rsidRPr="002A2B81" w:rsidRDefault="00042F95" w:rsidP="00042F95">
      <w:pPr>
        <w:pStyle w:val="ConsPlusNormal"/>
        <w:numPr>
          <w:ilvl w:val="3"/>
          <w:numId w:val="4"/>
        </w:numPr>
        <w:ind w:left="0" w:firstLine="0"/>
        <w:jc w:val="both"/>
        <w:rPr>
          <w:rFonts w:ascii="Times New Roman" w:hAnsi="Times New Roman" w:cs="Times New Roman"/>
          <w:szCs w:val="22"/>
        </w:rPr>
      </w:pPr>
      <w:r w:rsidRPr="002A2B81">
        <w:rPr>
          <w:rFonts w:ascii="Times New Roman" w:hAnsi="Times New Roman" w:cs="Times New Roman"/>
          <w:szCs w:val="22"/>
        </w:rPr>
        <w:t>Организация, которая прямо или косвенно контролируется организацией, указанной в пункте 1, либо сама контролирует такую организацию</w:t>
      </w:r>
      <w:r w:rsidRPr="002A2B81">
        <w:rPr>
          <w:rStyle w:val="a8"/>
          <w:rFonts w:ascii="Times New Roman" w:hAnsi="Times New Roman" w:cs="Times New Roman"/>
          <w:color w:val="000000"/>
          <w:szCs w:val="22"/>
        </w:rPr>
        <w:footnoteReference w:id="2"/>
      </w:r>
      <w:r w:rsidRPr="002A2B81">
        <w:rPr>
          <w:rFonts w:ascii="Times New Roman" w:hAnsi="Times New Roman" w:cs="Times New Roman"/>
          <w:szCs w:val="22"/>
        </w:rPr>
        <w:t>.</w:t>
      </w:r>
    </w:p>
    <w:p w:rsidR="00042F95" w:rsidRPr="002A2B81" w:rsidRDefault="00042F95" w:rsidP="00042F95">
      <w:pPr>
        <w:pStyle w:val="ConsPlusNormal"/>
        <w:numPr>
          <w:ilvl w:val="3"/>
          <w:numId w:val="4"/>
        </w:numPr>
        <w:ind w:left="0" w:firstLine="0"/>
        <w:jc w:val="both"/>
        <w:rPr>
          <w:rFonts w:ascii="Times New Roman" w:hAnsi="Times New Roman" w:cs="Times New Roman"/>
          <w:szCs w:val="22"/>
        </w:rPr>
      </w:pPr>
      <w:r w:rsidRPr="002A2B81">
        <w:rPr>
          <w:rFonts w:ascii="Times New Roman" w:hAnsi="Times New Roman" w:cs="Times New Roman"/>
          <w:szCs w:val="22"/>
        </w:rPr>
        <w:t>Организация, которая прямо или косвенно контролируется другой организацией, одновременно прямо или косвенно контролирующей организацию, указанную в пункте 1.</w:t>
      </w:r>
    </w:p>
    <w:p w:rsidR="00042F95" w:rsidRPr="002A2B81" w:rsidRDefault="00042F95" w:rsidP="00042F95">
      <w:pPr>
        <w:pStyle w:val="ConsPlusNormal"/>
        <w:numPr>
          <w:ilvl w:val="3"/>
          <w:numId w:val="4"/>
        </w:numPr>
        <w:ind w:left="0" w:firstLine="0"/>
        <w:jc w:val="both"/>
        <w:rPr>
          <w:rFonts w:ascii="Times New Roman" w:hAnsi="Times New Roman" w:cs="Times New Roman"/>
          <w:szCs w:val="22"/>
        </w:rPr>
      </w:pPr>
      <w:r w:rsidRPr="002A2B81">
        <w:rPr>
          <w:rFonts w:ascii="Times New Roman" w:hAnsi="Times New Roman" w:cs="Times New Roman"/>
          <w:szCs w:val="22"/>
        </w:rPr>
        <w:t>Орган государственной власти Российской Федерации или иностранных государств.</w:t>
      </w:r>
    </w:p>
    <w:p w:rsidR="00042F95" w:rsidRPr="002A2B81" w:rsidRDefault="00042F95" w:rsidP="00042F95">
      <w:pPr>
        <w:pStyle w:val="ConsPlusNormal"/>
        <w:numPr>
          <w:ilvl w:val="3"/>
          <w:numId w:val="4"/>
        </w:numPr>
        <w:ind w:left="0" w:firstLine="0"/>
        <w:jc w:val="both"/>
        <w:rPr>
          <w:rFonts w:ascii="Times New Roman" w:hAnsi="Times New Roman" w:cs="Times New Roman"/>
          <w:szCs w:val="22"/>
        </w:rPr>
      </w:pPr>
      <w:r w:rsidRPr="002A2B81">
        <w:rPr>
          <w:rFonts w:ascii="Times New Roman" w:hAnsi="Times New Roman" w:cs="Times New Roman"/>
          <w:szCs w:val="22"/>
        </w:rPr>
        <w:t>Международная организация, указанная в следующем перечне:</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Центральный банк Российской Федерации (Банк России);</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Пенсионный фонд Российской Федерации, Фонд обязательного медицинского страхования, Фонд социального страхования Российской Федерации;</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Международная финансовая корпорация</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Международный банк реконструкции и развития;</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Евразийский банк развития</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Международная ассоциация развития</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Европейский банк реконструкции и развития;</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Межгосударственный банк</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Международный инвестиционный банк</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Международный банк экономического сотрудничества</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Многостороннее агентство по гарантиям инвестиций;</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Черноморский банк торговли и развития;</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Европейский инвестиционный банк</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Северный инвестиционный банк</w:t>
      </w:r>
      <w:r w:rsidRPr="002A2B81">
        <w:rPr>
          <w:rFonts w:ascii="Times New Roman" w:hAnsi="Times New Roman" w:cs="Times New Roman"/>
          <w:lang w:val="en-US"/>
        </w:rPr>
        <w:t>;</w:t>
      </w:r>
    </w:p>
    <w:p w:rsidR="00042F95" w:rsidRPr="002A2B81" w:rsidRDefault="00042F95" w:rsidP="00042F95">
      <w:pPr>
        <w:pStyle w:val="a3"/>
        <w:numPr>
          <w:ilvl w:val="3"/>
          <w:numId w:val="2"/>
        </w:numPr>
        <w:tabs>
          <w:tab w:val="left" w:pos="993"/>
        </w:tabs>
        <w:autoSpaceDE w:val="0"/>
        <w:autoSpaceDN w:val="0"/>
        <w:adjustRightInd w:val="0"/>
        <w:spacing w:after="0" w:line="240" w:lineRule="auto"/>
        <w:ind w:left="426"/>
        <w:jc w:val="both"/>
        <w:rPr>
          <w:rFonts w:ascii="Times New Roman" w:hAnsi="Times New Roman" w:cs="Times New Roman"/>
        </w:rPr>
      </w:pPr>
      <w:r w:rsidRPr="002A2B81">
        <w:rPr>
          <w:rFonts w:ascii="Times New Roman" w:hAnsi="Times New Roman" w:cs="Times New Roman"/>
        </w:rPr>
        <w:t>Международный валютный фонд</w:t>
      </w:r>
      <w:r w:rsidRPr="002A2B81">
        <w:rPr>
          <w:rFonts w:ascii="Times New Roman" w:hAnsi="Times New Roman" w:cs="Times New Roman"/>
          <w:lang w:val="en-US"/>
        </w:rPr>
        <w:t>.</w:t>
      </w:r>
    </w:p>
    <w:p w:rsidR="00521E36" w:rsidRDefault="00042F95" w:rsidP="00042F95">
      <w:pPr>
        <w:jc w:val="both"/>
      </w:pPr>
      <w:r w:rsidRPr="002A2B81">
        <w:rPr>
          <w:rFonts w:ascii="Times New Roman" w:hAnsi="Times New Roman" w:cs="Times New Roman"/>
        </w:rPr>
        <w:t>Организация финансового рынка, за исключением организации финансового рынка, зарегистрированной в иностранном государстве,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в информационно-телекоммуникационной сети "Интернет", если такая организация финансового рынка основной доход получает от операций инвестирования или торговли финансовыми активами и управляется иной организацией финансового рынка.</w:t>
      </w:r>
    </w:p>
    <w:sectPr w:rsidR="00521E36" w:rsidSect="00FA1A40">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F95" w:rsidRDefault="00042F95" w:rsidP="00042F95">
      <w:pPr>
        <w:spacing w:after="0" w:line="240" w:lineRule="auto"/>
      </w:pPr>
      <w:r>
        <w:separator/>
      </w:r>
    </w:p>
  </w:endnote>
  <w:endnote w:type="continuationSeparator" w:id="0">
    <w:p w:rsidR="00042F95" w:rsidRDefault="00042F95" w:rsidP="0004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167596"/>
      <w:docPartObj>
        <w:docPartGallery w:val="Page Numbers (Bottom of Page)"/>
        <w:docPartUnique/>
      </w:docPartObj>
    </w:sdtPr>
    <w:sdtContent>
      <w:p w:rsidR="008B0BC3" w:rsidRDefault="008B0BC3">
        <w:pPr>
          <w:pStyle w:val="ab"/>
          <w:jc w:val="right"/>
        </w:pPr>
        <w:r>
          <w:fldChar w:fldCharType="begin"/>
        </w:r>
        <w:r>
          <w:instrText>PAGE   \* MERGEFORMAT</w:instrText>
        </w:r>
        <w:r>
          <w:fldChar w:fldCharType="separate"/>
        </w:r>
        <w:r>
          <w:rPr>
            <w:noProof/>
          </w:rPr>
          <w:t>5</w:t>
        </w:r>
        <w:r>
          <w:fldChar w:fldCharType="end"/>
        </w:r>
      </w:p>
    </w:sdtContent>
  </w:sdt>
  <w:p w:rsidR="008B0BC3" w:rsidRDefault="008B0BC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F95" w:rsidRDefault="00042F95" w:rsidP="00042F95">
      <w:pPr>
        <w:spacing w:after="0" w:line="240" w:lineRule="auto"/>
      </w:pPr>
      <w:r>
        <w:separator/>
      </w:r>
    </w:p>
  </w:footnote>
  <w:footnote w:type="continuationSeparator" w:id="0">
    <w:p w:rsidR="00042F95" w:rsidRDefault="00042F95" w:rsidP="00042F95">
      <w:pPr>
        <w:spacing w:after="0" w:line="240" w:lineRule="auto"/>
      </w:pPr>
      <w:r>
        <w:continuationSeparator/>
      </w:r>
    </w:p>
  </w:footnote>
  <w:footnote w:id="1">
    <w:p w:rsidR="00042F95" w:rsidRPr="008C1586" w:rsidRDefault="00042F95" w:rsidP="00042F95">
      <w:pPr>
        <w:pStyle w:val="a6"/>
        <w:jc w:val="both"/>
        <w:rPr>
          <w:rFonts w:ascii="Times New Roman" w:hAnsi="Times New Roman" w:cs="Times New Roman"/>
          <w:sz w:val="16"/>
          <w:szCs w:val="16"/>
        </w:rPr>
      </w:pPr>
      <w:r w:rsidRPr="008C1586">
        <w:rPr>
          <w:rStyle w:val="a8"/>
          <w:rFonts w:ascii="Times New Roman" w:hAnsi="Times New Roman" w:cs="Times New Roman"/>
          <w:sz w:val="16"/>
          <w:szCs w:val="16"/>
        </w:rPr>
        <w:footnoteRef/>
      </w:r>
      <w:r w:rsidRPr="008C1586">
        <w:rPr>
          <w:rFonts w:ascii="Times New Roman" w:hAnsi="Times New Roman" w:cs="Times New Roman"/>
          <w:sz w:val="16"/>
          <w:szCs w:val="16"/>
        </w:rPr>
        <w:t xml:space="preserve"> Перечень доходов, которые вправе не учитывать некоммерческие организации при формировании налоговой базы по налогу на прибыль, поименован в пункте 2 и в отдельных подпунктах пункта 1 статьи 251 Налогового кодекса Российской Федерации (часть вторая). Перечень таких доходов является исчерпывающим. В случае если некоммерческая организация</w:t>
      </w:r>
      <w:r w:rsidRPr="008C1586">
        <w:rPr>
          <w:rFonts w:ascii="Times New Roman" w:hAnsi="Times New Roman" w:cs="Times New Roman"/>
          <w:sz w:val="18"/>
          <w:szCs w:val="18"/>
        </w:rPr>
        <w:t xml:space="preserve"> </w:t>
      </w:r>
      <w:r w:rsidRPr="008C1586">
        <w:rPr>
          <w:rFonts w:ascii="Times New Roman" w:hAnsi="Times New Roman" w:cs="Times New Roman"/>
          <w:sz w:val="16"/>
          <w:szCs w:val="16"/>
        </w:rPr>
        <w:t>получает доходы, не указанные в статье 251, то они учитываются при определении налоговой базы по налогу на прибыль организаций в общеустановленном порядке. В этом случае некоммерческую организацию необходимо идентифицировать в качестве активной или пассивной нефинансовой организации в общем порядке.</w:t>
      </w:r>
    </w:p>
  </w:footnote>
  <w:footnote w:id="2">
    <w:p w:rsidR="00042F95" w:rsidRPr="008C1586" w:rsidRDefault="00042F95" w:rsidP="00042F95">
      <w:pPr>
        <w:pStyle w:val="a6"/>
        <w:jc w:val="both"/>
        <w:rPr>
          <w:sz w:val="16"/>
          <w:szCs w:val="16"/>
        </w:rPr>
      </w:pPr>
      <w:r w:rsidRPr="008C1586">
        <w:rPr>
          <w:rStyle w:val="a8"/>
          <w:rFonts w:ascii="Times New Roman" w:hAnsi="Times New Roman" w:cs="Times New Roman"/>
          <w:sz w:val="16"/>
          <w:szCs w:val="16"/>
        </w:rPr>
        <w:footnoteRef/>
      </w:r>
      <w:r w:rsidRPr="008C1586">
        <w:rPr>
          <w:rFonts w:ascii="Times New Roman" w:hAnsi="Times New Roman" w:cs="Times New Roman"/>
          <w:sz w:val="16"/>
          <w:szCs w:val="16"/>
        </w:rPr>
        <w:t xml:space="preserve"> Под прямым или косвенным контролем понимается доля участия в организации, составляющая более 50% акций (долей) в ее уставном (складочном) капитале.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86CE4"/>
    <w:multiLevelType w:val="hybridMultilevel"/>
    <w:tmpl w:val="7272EEE2"/>
    <w:lvl w:ilvl="0" w:tplc="9C726CFE">
      <w:start w:val="1"/>
      <w:numFmt w:val="bullet"/>
      <w:lvlText w:val="-"/>
      <w:lvlJc w:val="left"/>
      <w:pPr>
        <w:ind w:left="1440" w:hanging="360"/>
      </w:pPr>
      <w:rPr>
        <w:rFonts w:ascii="Times New Roman" w:hAnsi="Times New Roman" w:cs="Times New Roman"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7CA072DC">
      <w:start w:val="2"/>
      <w:numFmt w:val="bullet"/>
      <w:lvlText w:val="-"/>
      <w:lvlJc w:val="left"/>
      <w:pPr>
        <w:ind w:left="3600" w:hanging="360"/>
      </w:pPr>
      <w:rPr>
        <w:rFonts w:ascii="Bookman Old Style" w:eastAsia="Times New Roman" w:hAnsi="Bookman Old Style" w:cs="Times New Roman" w:hint="default"/>
        <w:sz w:val="20"/>
        <w:szCs w:val="20"/>
        <w:lang w:val="ru-RU"/>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44211A9"/>
    <w:multiLevelType w:val="hybridMultilevel"/>
    <w:tmpl w:val="0F8A6196"/>
    <w:lvl w:ilvl="0" w:tplc="9C726CFE">
      <w:start w:val="1"/>
      <w:numFmt w:val="bullet"/>
      <w:lvlText w:val="-"/>
      <w:lvlJc w:val="left"/>
      <w:pPr>
        <w:ind w:left="1440" w:hanging="360"/>
      </w:pPr>
      <w:rPr>
        <w:rFonts w:ascii="Times New Roman" w:hAnsi="Times New Roman" w:cs="Times New Roman" w:hint="default"/>
        <w:sz w:val="20"/>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sz w:val="20"/>
        <w:szCs w:val="20"/>
        <w:lang w:val="ru-RU"/>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10F2D7A"/>
    <w:multiLevelType w:val="hybridMultilevel"/>
    <w:tmpl w:val="67A49FF2"/>
    <w:lvl w:ilvl="0" w:tplc="2B5A97E0">
      <w:start w:val="1"/>
      <w:numFmt w:val="decimal"/>
      <w:suff w:val="space"/>
      <w:lvlText w:val="4.1.%1."/>
      <w:lvlJc w:val="left"/>
      <w:pPr>
        <w:ind w:left="720" w:hanging="360"/>
      </w:pPr>
      <w:rPr>
        <w:rFonts w:hint="default"/>
        <w:spacing w:val="-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186E9A98">
      <w:start w:val="1"/>
      <w:numFmt w:val="decimal"/>
      <w:suff w:val="space"/>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381EEE"/>
    <w:multiLevelType w:val="multilevel"/>
    <w:tmpl w:val="81145104"/>
    <w:lvl w:ilvl="0">
      <w:start w:val="1"/>
      <w:numFmt w:val="decimal"/>
      <w:lvlText w:val="%1."/>
      <w:lvlJc w:val="left"/>
      <w:pPr>
        <w:ind w:left="720" w:hanging="360"/>
      </w:pPr>
      <w:rPr>
        <w:rFonts w:hint="default"/>
        <w:b/>
      </w:rPr>
    </w:lvl>
    <w:lvl w:ilvl="1">
      <w:start w:val="1"/>
      <w:numFmt w:val="decimal"/>
      <w:isLgl/>
      <w:suff w:val="space"/>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bullet"/>
      <w:lvlText w:val=""/>
      <w:lvlJc w:val="left"/>
      <w:pPr>
        <w:ind w:left="2847" w:hanging="720"/>
      </w:pPr>
      <w:rPr>
        <w:rFonts w:ascii="Symbol" w:hAnsi="Symbol"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5"/>
    <w:rsid w:val="00042F95"/>
    <w:rsid w:val="00521E36"/>
    <w:rsid w:val="008B0BC3"/>
    <w:rsid w:val="00FA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0EE"/>
  <w15:chartTrackingRefBased/>
  <w15:docId w15:val="{387C705E-637D-45D1-861C-2968A467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F95"/>
  </w:style>
  <w:style w:type="paragraph" w:styleId="2">
    <w:name w:val="heading 2"/>
    <w:basedOn w:val="a"/>
    <w:next w:val="a"/>
    <w:link w:val="20"/>
    <w:uiPriority w:val="9"/>
    <w:unhideWhenUsed/>
    <w:qFormat/>
    <w:rsid w:val="00042F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2F95"/>
    <w:rPr>
      <w:rFonts w:asciiTheme="majorHAnsi" w:eastAsiaTheme="majorEastAsia" w:hAnsiTheme="majorHAnsi" w:cstheme="majorBidi"/>
      <w:color w:val="2E74B5" w:themeColor="accent1" w:themeShade="BF"/>
      <w:sz w:val="26"/>
      <w:szCs w:val="26"/>
    </w:rPr>
  </w:style>
  <w:style w:type="paragraph" w:styleId="a3">
    <w:name w:val="List Paragraph"/>
    <w:basedOn w:val="a"/>
    <w:link w:val="a4"/>
    <w:uiPriority w:val="34"/>
    <w:qFormat/>
    <w:rsid w:val="00042F95"/>
    <w:pPr>
      <w:ind w:left="720"/>
      <w:contextualSpacing/>
    </w:pPr>
  </w:style>
  <w:style w:type="character" w:styleId="a5">
    <w:name w:val="Hyperlink"/>
    <w:basedOn w:val="a0"/>
    <w:uiPriority w:val="99"/>
    <w:unhideWhenUsed/>
    <w:rsid w:val="00042F95"/>
    <w:rPr>
      <w:color w:val="0000FF"/>
      <w:u w:val="single"/>
    </w:rPr>
  </w:style>
  <w:style w:type="character" w:customStyle="1" w:styleId="a4">
    <w:name w:val="Абзац списка Знак"/>
    <w:link w:val="a3"/>
    <w:uiPriority w:val="34"/>
    <w:locked/>
    <w:rsid w:val="00042F95"/>
  </w:style>
  <w:style w:type="paragraph" w:styleId="a6">
    <w:name w:val="footnote text"/>
    <w:basedOn w:val="a"/>
    <w:link w:val="a7"/>
    <w:uiPriority w:val="99"/>
    <w:semiHidden/>
    <w:unhideWhenUsed/>
    <w:rsid w:val="00042F95"/>
    <w:pPr>
      <w:spacing w:after="0" w:line="240" w:lineRule="auto"/>
    </w:pPr>
    <w:rPr>
      <w:sz w:val="20"/>
      <w:szCs w:val="20"/>
    </w:rPr>
  </w:style>
  <w:style w:type="character" w:customStyle="1" w:styleId="a7">
    <w:name w:val="Текст сноски Знак"/>
    <w:basedOn w:val="a0"/>
    <w:link w:val="a6"/>
    <w:uiPriority w:val="99"/>
    <w:semiHidden/>
    <w:rsid w:val="00042F95"/>
    <w:rPr>
      <w:sz w:val="20"/>
      <w:szCs w:val="20"/>
    </w:rPr>
  </w:style>
  <w:style w:type="character" w:styleId="a8">
    <w:name w:val="footnote reference"/>
    <w:basedOn w:val="a0"/>
    <w:uiPriority w:val="99"/>
    <w:semiHidden/>
    <w:unhideWhenUsed/>
    <w:rsid w:val="00042F95"/>
    <w:rPr>
      <w:vertAlign w:val="superscript"/>
    </w:rPr>
  </w:style>
  <w:style w:type="paragraph" w:customStyle="1" w:styleId="ConsPlusNormal">
    <w:name w:val="ConsPlusNormal"/>
    <w:rsid w:val="00042F95"/>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8B0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B0BC3"/>
  </w:style>
  <w:style w:type="paragraph" w:styleId="ab">
    <w:name w:val="footer"/>
    <w:basedOn w:val="a"/>
    <w:link w:val="ac"/>
    <w:uiPriority w:val="99"/>
    <w:unhideWhenUsed/>
    <w:rsid w:val="008B0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B0BC3"/>
  </w:style>
  <w:style w:type="paragraph" w:styleId="ad">
    <w:name w:val="Balloon Text"/>
    <w:basedOn w:val="a"/>
    <w:link w:val="ae"/>
    <w:uiPriority w:val="99"/>
    <w:semiHidden/>
    <w:unhideWhenUsed/>
    <w:rsid w:val="008B0BC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B0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0fzreport.nalog.ru/info/" TargetMode="External"/><Relationship Id="rId3" Type="http://schemas.openxmlformats.org/officeDocument/2006/relationships/settings" Target="settings.xml"/><Relationship Id="rId7" Type="http://schemas.openxmlformats.org/officeDocument/2006/relationships/hyperlink" Target="https://340fzreport.nalog.ru/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2940</Words>
  <Characters>16759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Рудницкая Оксана Витальевна</dc:creator>
  <cp:keywords/>
  <dc:description/>
  <cp:lastModifiedBy>Рудницкая Оксана Витальевна</cp:lastModifiedBy>
  <cp:revision>3</cp:revision>
  <cp:lastPrinted>2021-11-17T15:27:00Z</cp:lastPrinted>
  <dcterms:created xsi:type="dcterms:W3CDTF">2021-11-12T14:35:00Z</dcterms:created>
  <dcterms:modified xsi:type="dcterms:W3CDTF">2021-11-26T09:54:00Z</dcterms:modified>
</cp:coreProperties>
</file>